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b/>
          <w:bCs/>
          <w:sz w:val="44"/>
          <w:szCs w:val="44"/>
          <w:lang w:val="en-US" w:eastAsia="zh-CN"/>
        </w:rPr>
      </w:pPr>
      <w:bookmarkStart w:id="1" w:name="_GoBack"/>
      <w:r>
        <w:rPr>
          <w:rFonts w:hint="eastAsia" w:asciiTheme="minorEastAsia" w:hAnsiTheme="minorEastAsia" w:eastAsiaTheme="minorEastAsia" w:cstheme="minorEastAsia"/>
          <w:b/>
          <w:bCs/>
          <w:sz w:val="44"/>
          <w:szCs w:val="44"/>
          <w:lang w:val="en-US" w:eastAsia="zh-CN"/>
        </w:rPr>
        <w:t>福州市施工图审查信息系统功能</w:t>
      </w:r>
      <w:bookmarkStart w:id="0" w:name="_Toc17283"/>
      <w:r>
        <w:rPr>
          <w:rFonts w:hint="eastAsia" w:asciiTheme="minorEastAsia" w:hAnsiTheme="minorEastAsia" w:eastAsiaTheme="minorEastAsia" w:cstheme="minorEastAsia"/>
          <w:b/>
          <w:bCs/>
          <w:sz w:val="44"/>
          <w:szCs w:val="44"/>
          <w:lang w:val="en-US" w:eastAsia="zh-CN"/>
        </w:rPr>
        <w:t>重点说明</w:t>
      </w:r>
    </w:p>
    <w:bookmarkEnd w:id="1"/>
    <w:p>
      <w:pPr>
        <w:spacing w:line="360" w:lineRule="auto"/>
        <w:rPr>
          <w:rFonts w:hint="eastAsia" w:asciiTheme="minorEastAsia" w:hAnsiTheme="minorEastAsia" w:eastAsiaTheme="minorEastAsia" w:cstheme="minorEastAsia"/>
          <w:b/>
          <w:bCs/>
          <w:color w:val="FF0000"/>
          <w:kern w:val="2"/>
          <w:sz w:val="24"/>
          <w:szCs w:val="24"/>
          <w:lang w:val="en-US" w:eastAsia="zh-CN" w:bidi="ar-SA"/>
        </w:rPr>
      </w:pPr>
      <w:r>
        <w:rPr>
          <w:rFonts w:hint="eastAsia" w:asciiTheme="minorEastAsia" w:hAnsiTheme="minorEastAsia" w:eastAsiaTheme="minorEastAsia" w:cstheme="minorEastAsia"/>
          <w:bCs w:val="0"/>
          <w:kern w:val="2"/>
          <w:sz w:val="24"/>
          <w:szCs w:val="24"/>
          <w:lang w:val="en-US" w:eastAsia="zh-CN" w:bidi="ar-SA"/>
        </w:rPr>
        <w:t>一、建设单位在省厅图审系统注册建设单位账号</w:t>
      </w:r>
    </w:p>
    <w:p>
      <w:pPr>
        <w:numPr>
          <w:ilvl w:val="0"/>
          <w:numId w:val="2"/>
        </w:numPr>
        <w:spacing w:line="360" w:lineRule="auto"/>
        <w:ind w:leftChars="0"/>
        <w:rPr>
          <w:rFonts w:hint="eastAsia" w:asciiTheme="minorEastAsia" w:hAnsiTheme="minorEastAsia" w:eastAsiaTheme="minorEastAsia" w:cstheme="minorEastAsia"/>
          <w:b/>
          <w:bCs/>
          <w:color w:val="FF0000"/>
          <w:kern w:val="2"/>
          <w:sz w:val="24"/>
          <w:szCs w:val="24"/>
          <w:lang w:val="en-US" w:eastAsia="zh-CN" w:bidi="ar-SA"/>
        </w:rPr>
      </w:pPr>
      <w:r>
        <w:rPr>
          <w:rFonts w:hint="eastAsia" w:asciiTheme="minorEastAsia" w:hAnsiTheme="minorEastAsia" w:eastAsiaTheme="minorEastAsia" w:cstheme="minorEastAsia"/>
          <w:b/>
          <w:bCs/>
          <w:color w:val="FF0000"/>
          <w:kern w:val="2"/>
          <w:sz w:val="24"/>
          <w:szCs w:val="24"/>
          <w:lang w:val="en-US" w:eastAsia="zh-CN" w:bidi="ar-SA"/>
        </w:rPr>
        <w:t>如果在省厅注册了建设单位信息及账号，正常需要第二天系统数据同步后才可进行福州市系统的登录。</w:t>
      </w:r>
    </w:p>
    <w:p>
      <w:pPr>
        <w:numPr>
          <w:ilvl w:val="0"/>
          <w:numId w:val="2"/>
        </w:numPr>
        <w:spacing w:line="360" w:lineRule="auto"/>
        <w:ind w:leftChars="0"/>
        <w:rPr>
          <w:rFonts w:hint="eastAsia" w:asciiTheme="minorEastAsia" w:hAnsiTheme="minorEastAsia" w:eastAsiaTheme="minorEastAsia" w:cstheme="minorEastAsia"/>
          <w:b/>
          <w:bCs/>
          <w:color w:val="FF0000"/>
          <w:kern w:val="2"/>
          <w:sz w:val="24"/>
          <w:szCs w:val="24"/>
          <w:lang w:val="en-US" w:eastAsia="zh-CN" w:bidi="ar-SA"/>
        </w:rPr>
      </w:pPr>
      <w:r>
        <w:rPr>
          <w:rFonts w:hint="eastAsia" w:asciiTheme="minorEastAsia" w:hAnsiTheme="minorEastAsia" w:eastAsiaTheme="minorEastAsia" w:cstheme="minorEastAsia"/>
          <w:b/>
          <w:bCs/>
          <w:color w:val="FF0000"/>
          <w:kern w:val="2"/>
          <w:sz w:val="24"/>
          <w:szCs w:val="24"/>
          <w:lang w:val="en-US" w:eastAsia="zh-CN" w:bidi="ar-SA"/>
        </w:rPr>
        <w:t>如需要当天注册完就可登录福州系统操作，可按照以下操作步骤进行操作。</w:t>
      </w:r>
    </w:p>
    <w:p>
      <w:pPr>
        <w:numPr>
          <w:ilvl w:val="0"/>
          <w:numId w:val="3"/>
        </w:numPr>
        <w:spacing w:line="360" w:lineRule="auto"/>
        <w:ind w:left="425" w:leftChars="0" w:hanging="425" w:firstLineChars="0"/>
        <w:rPr>
          <w:rFonts w:hint="eastAsia" w:asciiTheme="minorEastAsia" w:hAnsiTheme="minorEastAsia" w:eastAsiaTheme="minorEastAsia" w:cstheme="minorEastAsia"/>
          <w:b/>
          <w:bCs/>
          <w:color w:val="FF0000"/>
          <w:kern w:val="2"/>
          <w:sz w:val="24"/>
          <w:szCs w:val="24"/>
          <w:lang w:val="en-US" w:eastAsia="zh-CN" w:bidi="ar-SA"/>
        </w:rPr>
      </w:pPr>
      <w:r>
        <w:rPr>
          <w:rFonts w:hint="eastAsia" w:asciiTheme="minorEastAsia" w:hAnsiTheme="minorEastAsia" w:eastAsiaTheme="minorEastAsia" w:cstheme="minorEastAsia"/>
          <w:b/>
          <w:bCs/>
          <w:color w:val="FF0000"/>
          <w:kern w:val="2"/>
          <w:sz w:val="24"/>
          <w:szCs w:val="24"/>
          <w:lang w:val="en-US" w:eastAsia="zh-CN" w:bidi="ar-SA"/>
        </w:rPr>
        <w:t>使用图审机构账号进入系统管理-客户管理-建设单位管理-导入；</w:t>
      </w:r>
    </w:p>
    <w:p>
      <w:pPr>
        <w:spacing w:line="360" w:lineRule="auto"/>
        <w:rPr>
          <w:rFonts w:hint="eastAsia" w:asciiTheme="minorEastAsia" w:hAnsiTheme="minorEastAsia" w:eastAsiaTheme="minorEastAsia" w:cstheme="minorEastAsia"/>
          <w:b/>
          <w:bCs/>
          <w:color w:val="FF0000"/>
          <w:sz w:val="24"/>
          <w:szCs w:val="24"/>
        </w:rPr>
      </w:pPr>
      <w:r>
        <w:rPr>
          <w:rFonts w:hint="eastAsia" w:asciiTheme="minorEastAsia" w:hAnsiTheme="minorEastAsia" w:eastAsiaTheme="minorEastAsia" w:cstheme="minorEastAsia"/>
          <w:b/>
          <w:bCs/>
          <w:color w:val="FF0000"/>
          <w:sz w:val="24"/>
          <w:szCs w:val="24"/>
        </w:rPr>
        <w:drawing>
          <wp:inline distT="0" distB="0" distL="114300" distR="114300">
            <wp:extent cx="5268595" cy="1839595"/>
            <wp:effectExtent l="0" t="0" r="190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5268595" cy="1839595"/>
                    </a:xfrm>
                    <a:prstGeom prst="rect">
                      <a:avLst/>
                    </a:prstGeom>
                    <a:noFill/>
                    <a:ln>
                      <a:noFill/>
                    </a:ln>
                  </pic:spPr>
                </pic:pic>
              </a:graphicData>
            </a:graphic>
          </wp:inline>
        </w:drawing>
      </w:r>
    </w:p>
    <w:p>
      <w:pPr>
        <w:numPr>
          <w:ilvl w:val="0"/>
          <w:numId w:val="3"/>
        </w:numPr>
        <w:spacing w:line="360" w:lineRule="auto"/>
        <w:ind w:left="425" w:leftChars="0" w:hanging="425" w:firstLineChars="0"/>
        <w:rPr>
          <w:rFonts w:hint="eastAsia" w:asciiTheme="minorEastAsia" w:hAnsiTheme="minorEastAsia" w:eastAsiaTheme="minorEastAsia" w:cstheme="minorEastAsia"/>
          <w:b/>
          <w:bCs/>
          <w:color w:val="FF0000"/>
          <w:kern w:val="2"/>
          <w:sz w:val="24"/>
          <w:szCs w:val="24"/>
          <w:lang w:val="en-US" w:eastAsia="zh-CN" w:bidi="ar-SA"/>
        </w:rPr>
      </w:pPr>
      <w:r>
        <w:rPr>
          <w:rFonts w:hint="eastAsia" w:asciiTheme="minorEastAsia" w:hAnsiTheme="minorEastAsia" w:eastAsiaTheme="minorEastAsia" w:cstheme="minorEastAsia"/>
          <w:b/>
          <w:bCs/>
          <w:color w:val="FF0000"/>
          <w:kern w:val="2"/>
          <w:sz w:val="24"/>
          <w:szCs w:val="24"/>
          <w:lang w:val="en-US" w:eastAsia="zh-CN" w:bidi="ar-SA"/>
        </w:rPr>
        <w:t>导入完建设单位信息后再进行建设单位登录账号的同步，具体操作过程：系统管理-权限管理-用户管理-导入</w:t>
      </w:r>
    </w:p>
    <w:p>
      <w:pPr>
        <w:numPr>
          <w:ilvl w:val="0"/>
          <w:numId w:val="0"/>
        </w:numPr>
        <w:spacing w:line="360" w:lineRule="auto"/>
        <w:ind w:leftChars="0"/>
        <w:rPr>
          <w:rFonts w:hint="eastAsia" w:asciiTheme="minorEastAsia" w:hAnsiTheme="minorEastAsia" w:eastAsiaTheme="minorEastAsia" w:cstheme="minorEastAsia"/>
          <w:b/>
          <w:bCs/>
          <w:color w:val="FF0000"/>
          <w:kern w:val="2"/>
          <w:sz w:val="24"/>
          <w:szCs w:val="24"/>
          <w:lang w:val="en-US" w:eastAsia="zh-CN" w:bidi="ar-SA"/>
        </w:rPr>
      </w:pPr>
      <w:r>
        <w:rPr>
          <w:rFonts w:hint="eastAsia" w:asciiTheme="minorEastAsia" w:hAnsiTheme="minorEastAsia" w:eastAsiaTheme="minorEastAsia" w:cstheme="minorEastAsia"/>
          <w:b/>
          <w:bCs/>
          <w:color w:val="FF0000"/>
          <w:sz w:val="24"/>
          <w:szCs w:val="24"/>
        </w:rPr>
        <w:drawing>
          <wp:inline distT="0" distB="0" distL="114300" distR="114300">
            <wp:extent cx="5266690" cy="2301240"/>
            <wp:effectExtent l="0" t="0" r="3810" b="1016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5"/>
                    <a:stretch>
                      <a:fillRect/>
                    </a:stretch>
                  </pic:blipFill>
                  <pic:spPr>
                    <a:xfrm>
                      <a:off x="0" y="0"/>
                      <a:ext cx="5266690" cy="2301240"/>
                    </a:xfrm>
                    <a:prstGeom prst="rect">
                      <a:avLst/>
                    </a:prstGeom>
                    <a:noFill/>
                    <a:ln>
                      <a:noFill/>
                    </a:ln>
                  </pic:spPr>
                </pic:pic>
              </a:graphicData>
            </a:graphic>
          </wp:inline>
        </w:drawing>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color w:val="FF0000"/>
          <w:kern w:val="2"/>
          <w:sz w:val="24"/>
          <w:szCs w:val="24"/>
          <w:lang w:val="en-US" w:eastAsia="zh-CN" w:bidi="ar-SA"/>
        </w:rPr>
        <w:t>通过以上手动操作即可完成建设单位信息和登录账号的导入。</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Cs/>
          <w:kern w:val="2"/>
          <w:sz w:val="24"/>
          <w:szCs w:val="24"/>
          <w:lang w:val="en-US" w:eastAsia="zh-CN" w:bidi="ar-SA"/>
        </w:rPr>
        <w:t>二、电子图文档上传</w:t>
      </w:r>
      <w:bookmarkEnd w:id="0"/>
    </w:p>
    <w:p>
      <w:pPr>
        <w:numPr>
          <w:ilvl w:val="0"/>
          <w:numId w:val="0"/>
        </w:numPr>
        <w:spacing w:line="360" w:lineRule="auto"/>
        <w:rPr>
          <w:rFonts w:hint="eastAsia" w:asciiTheme="minorEastAsia" w:hAnsiTheme="minorEastAsia" w:eastAsiaTheme="minorEastAsia" w:cstheme="minorEastAsia"/>
          <w:bCs w:val="0"/>
          <w:kern w:val="2"/>
          <w:sz w:val="24"/>
          <w:szCs w:val="24"/>
          <w:lang w:val="en-US" w:eastAsia="zh-CN" w:bidi="ar-SA"/>
        </w:rPr>
      </w:pPr>
      <w:r>
        <w:rPr>
          <w:rFonts w:hint="eastAsia" w:asciiTheme="minorEastAsia" w:hAnsiTheme="minorEastAsia" w:eastAsiaTheme="minorEastAsia" w:cstheme="minorEastAsia"/>
          <w:bCs w:val="0"/>
          <w:kern w:val="2"/>
          <w:sz w:val="24"/>
          <w:szCs w:val="24"/>
          <w:lang w:val="en-US" w:eastAsia="zh-CN" w:bidi="ar-SA"/>
        </w:rPr>
        <w:t>建设单位上传，图审机构也允许上传，允许删除和下载预览</w:t>
      </w:r>
    </w:p>
    <w:p>
      <w:pPr>
        <w:numPr>
          <w:ilvl w:val="0"/>
          <w:numId w:val="0"/>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点击工程名称后面的</w:t>
      </w:r>
      <w:r>
        <w:rPr>
          <w:rFonts w:hint="eastAsia" w:asciiTheme="minorEastAsia" w:hAnsiTheme="minorEastAsia" w:eastAsiaTheme="minorEastAsia" w:cstheme="minorEastAsia"/>
          <w:sz w:val="24"/>
          <w:szCs w:val="24"/>
        </w:rPr>
        <w:drawing>
          <wp:inline distT="0" distB="0" distL="114300" distR="114300">
            <wp:extent cx="1085850" cy="2857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085850" cy="2857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按钮进入电子图文档上传界面</w:t>
      </w:r>
    </w:p>
    <w:p>
      <w:pPr>
        <w:numPr>
          <w:ilvl w:val="0"/>
          <w:numId w:val="0"/>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电子图文档分为初审图纸、终审图纸、其他图纸</w:t>
      </w:r>
    </w:p>
    <w:p>
      <w:pPr>
        <w:numPr>
          <w:ilvl w:val="0"/>
          <w:numId w:val="0"/>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5262880" cy="2694305"/>
            <wp:effectExtent l="0" t="0" r="762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2880" cy="2694305"/>
                    </a:xfrm>
                    <a:prstGeom prst="rect">
                      <a:avLst/>
                    </a:prstGeom>
                    <a:noFill/>
                    <a:ln>
                      <a:noFill/>
                    </a:ln>
                  </pic:spPr>
                </pic:pic>
              </a:graphicData>
            </a:graphic>
          </wp:inline>
        </w:drawing>
      </w:r>
    </w:p>
    <w:p>
      <w:pPr>
        <w:numPr>
          <w:ilvl w:val="0"/>
          <w:numId w:val="0"/>
        </w:numPr>
        <w:spacing w:line="360" w:lineRule="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注意：</w:t>
      </w:r>
    </w:p>
    <w:p>
      <w:pPr>
        <w:numPr>
          <w:ilvl w:val="0"/>
          <w:numId w:val="4"/>
        </w:numPr>
        <w:spacing w:line="360" w:lineRule="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项目报审时需要上传初审电子图纸，项目审结时需要将终审图纸一并上传，图纸格式为Dwf、Rar、word压缩格式；</w:t>
      </w:r>
    </w:p>
    <w:p>
      <w:pPr>
        <w:numPr>
          <w:ilvl w:val="0"/>
          <w:numId w:val="4"/>
        </w:numPr>
        <w:spacing w:line="360" w:lineRule="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建筑专业和市政有所不同市政增加道桥、燃气、环卫专业</w:t>
      </w:r>
    </w:p>
    <w:p>
      <w:pPr>
        <w:numPr>
          <w:ilvl w:val="0"/>
          <w:numId w:val="5"/>
        </w:numPr>
        <w:spacing w:line="360" w:lineRule="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审查意见登记</w:t>
      </w:r>
    </w:p>
    <w:p>
      <w:pPr>
        <w:spacing w:line="360" w:lineRule="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t>审查意见登记编辑界面具体操作说明如图：</w:t>
      </w:r>
    </w:p>
    <w:p>
      <w:pPr>
        <w:numPr>
          <w:ilvl w:val="0"/>
          <w:numId w:val="6"/>
        </w:numPr>
        <w:spacing w:line="360" w:lineRule="auto"/>
        <w:ind w:left="420" w:leftChars="0" w:hanging="420" w:firstLineChars="0"/>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t>点击审查意见登记-找到相关项目-点击意见登记</w:t>
      </w:r>
    </w:p>
    <w:p>
      <w:pPr>
        <w:spacing w:line="360" w:lineRule="auto"/>
        <w:rPr>
          <w:rFonts w:hint="eastAsia" w:asciiTheme="minorEastAsia" w:hAnsiTheme="minorEastAsia" w:eastAsiaTheme="minorEastAsia" w:cstheme="minorEastAsia"/>
          <w:bCs/>
          <w:kern w:val="2"/>
          <w:sz w:val="24"/>
          <w:szCs w:val="24"/>
          <w:lang w:val="en-US" w:eastAsia="zh-CN" w:bidi="ar-SA"/>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6690" cy="2301240"/>
            <wp:effectExtent l="0" t="0" r="381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2301240"/>
                    </a:xfrm>
                    <a:prstGeom prst="rect">
                      <a:avLst/>
                    </a:prstGeom>
                    <a:noFill/>
                    <a:ln>
                      <a:noFill/>
                    </a:ln>
                  </pic:spPr>
                </pic:pic>
              </a:graphicData>
            </a:graphic>
          </wp:inline>
        </w:drawing>
      </w:r>
    </w:p>
    <w:p>
      <w:pPr>
        <w:numPr>
          <w:ilvl w:val="0"/>
          <w:numId w:val="6"/>
        </w:numPr>
        <w:spacing w:line="360" w:lineRule="auto"/>
        <w:ind w:left="420" w:leftChars="0" w:hanging="420" w:firstLineChars="0"/>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t>选择对应的审查师-点击该审查师的意见登记-在跳出的意见登记框点击新增</w:t>
      </w:r>
    </w:p>
    <w:p>
      <w:pPr>
        <w:numPr>
          <w:ilvl w:val="0"/>
          <w:numId w:val="0"/>
        </w:numPr>
        <w:spacing w:line="360" w:lineRule="auto"/>
        <w:ind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2880" cy="2737485"/>
            <wp:effectExtent l="0" t="0" r="7620" b="571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5262880" cy="2737485"/>
                    </a:xfrm>
                    <a:prstGeom prst="rect">
                      <a:avLst/>
                    </a:prstGeom>
                    <a:noFill/>
                    <a:ln>
                      <a:noFill/>
                    </a:ln>
                  </pic:spPr>
                </pic:pic>
              </a:graphicData>
            </a:graphic>
          </wp:inline>
        </w:drawing>
      </w:r>
    </w:p>
    <w:p>
      <w:pPr>
        <w:numPr>
          <w:ilvl w:val="0"/>
          <w:numId w:val="6"/>
        </w:numPr>
        <w:spacing w:line="360" w:lineRule="auto"/>
        <w:ind w:left="420" w:leftChars="0" w:hanging="42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在审查意见中点击</w:t>
      </w:r>
      <w:r>
        <w:rPr>
          <w:rFonts w:hint="eastAsia" w:asciiTheme="minorEastAsia" w:hAnsiTheme="minorEastAsia" w:eastAsiaTheme="minorEastAsia" w:cstheme="minorEastAsia"/>
          <w:sz w:val="24"/>
          <w:szCs w:val="24"/>
        </w:rPr>
        <w:drawing>
          <wp:inline distT="0" distB="0" distL="114300" distR="114300">
            <wp:extent cx="330200" cy="361950"/>
            <wp:effectExtent l="0" t="0" r="0" b="635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stretch>
                      <a:fillRect/>
                    </a:stretch>
                  </pic:blipFill>
                  <pic:spPr>
                    <a:xfrm>
                      <a:off x="0" y="0"/>
                      <a:ext cx="330200" cy="3619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按钮新增审查意见，</w:t>
      </w:r>
    </w:p>
    <w:p>
      <w:pPr>
        <w:numPr>
          <w:ilvl w:val="0"/>
          <w:numId w:val="6"/>
        </w:numPr>
        <w:spacing w:line="360" w:lineRule="auto"/>
        <w:ind w:left="420" w:leftChars="0" w:hanging="42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eastAsiaTheme="minorEastAsia" w:cstheme="minorEastAsia"/>
          <w:sz w:val="24"/>
          <w:szCs w:val="24"/>
        </w:rPr>
        <w:drawing>
          <wp:inline distT="0" distB="0" distL="114300" distR="114300">
            <wp:extent cx="3302000" cy="3619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302000" cy="3619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下拉框中可以选择条文类型</w:t>
      </w:r>
    </w:p>
    <w:p>
      <w:pPr>
        <w:numPr>
          <w:ilvl w:val="0"/>
          <w:numId w:val="0"/>
        </w:numPr>
        <w:spacing w:line="360" w:lineRule="auto"/>
        <w:ind w:leftChars="0"/>
        <w:rPr>
          <w:rFonts w:hint="eastAsia" w:asciiTheme="minorEastAsia" w:hAnsiTheme="minorEastAsia" w:eastAsiaTheme="minorEastAsia" w:cstheme="minorEastAsia"/>
          <w:sz w:val="24"/>
          <w:szCs w:val="24"/>
        </w:rPr>
      </w:pPr>
    </w:p>
    <w:p>
      <w:pPr>
        <w:numPr>
          <w:ilvl w:val="0"/>
          <w:numId w:val="0"/>
        </w:numPr>
        <w:spacing w:line="360" w:lineRule="auto"/>
        <w:ind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2880" cy="2694305"/>
            <wp:effectExtent l="0" t="0" r="762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2880" cy="2694305"/>
                    </a:xfrm>
                    <a:prstGeom prst="rect">
                      <a:avLst/>
                    </a:prstGeom>
                    <a:noFill/>
                    <a:ln>
                      <a:noFill/>
                    </a:ln>
                  </pic:spPr>
                </pic:pic>
              </a:graphicData>
            </a:graphic>
          </wp:inline>
        </w:drawing>
      </w:r>
    </w:p>
    <w:p>
      <w:pPr>
        <w:numPr>
          <w:ilvl w:val="0"/>
          <w:numId w:val="6"/>
        </w:numPr>
        <w:spacing w:line="360" w:lineRule="auto"/>
        <w:ind w:left="420" w:leftChars="0" w:hanging="42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在附件栏中点击浏览即可上传审查意见的附件</w:t>
      </w:r>
    </w:p>
    <w:p>
      <w:pPr>
        <w:numPr>
          <w:ilvl w:val="0"/>
          <w:numId w:val="0"/>
        </w:numPr>
        <w:spacing w:line="360" w:lineRule="auto"/>
        <w:ind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6690" cy="2797810"/>
            <wp:effectExtent l="0" t="0" r="3810" b="889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6690" cy="2797810"/>
                    </a:xfrm>
                    <a:prstGeom prst="rect">
                      <a:avLst/>
                    </a:prstGeom>
                    <a:noFill/>
                    <a:ln>
                      <a:noFill/>
                    </a:ln>
                  </pic:spPr>
                </pic:pic>
              </a:graphicData>
            </a:graphic>
          </wp:inline>
        </w:drawing>
      </w:r>
    </w:p>
    <w:p>
      <w:pPr>
        <w:numPr>
          <w:ilvl w:val="0"/>
          <w:numId w:val="0"/>
        </w:numPr>
        <w:spacing w:line="360" w:lineRule="auto"/>
        <w:ind w:leftChars="0"/>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注：</w:t>
      </w:r>
    </w:p>
    <w:p>
      <w:pPr>
        <w:numPr>
          <w:ilvl w:val="0"/>
          <w:numId w:val="6"/>
        </w:numPr>
        <w:spacing w:line="360" w:lineRule="auto"/>
        <w:ind w:left="420" w:leftChars="0" w:hanging="420" w:firstLineChars="0"/>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当条文类型为强条时，需要引用省厅的强条库</w:t>
      </w:r>
    </w:p>
    <w:p>
      <w:pPr>
        <w:numPr>
          <w:ilvl w:val="0"/>
          <w:numId w:val="0"/>
        </w:numPr>
        <w:spacing w:line="360" w:lineRule="auto"/>
        <w:ind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6690" cy="2797810"/>
            <wp:effectExtent l="0" t="0" r="3810" b="889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266690" cy="2797810"/>
                    </a:xfrm>
                    <a:prstGeom prst="rect">
                      <a:avLst/>
                    </a:prstGeom>
                    <a:noFill/>
                    <a:ln>
                      <a:noFill/>
                    </a:ln>
                  </pic:spPr>
                </pic:pic>
              </a:graphicData>
            </a:graphic>
          </wp:inline>
        </w:drawing>
      </w:r>
    </w:p>
    <w:p>
      <w:pPr>
        <w:numPr>
          <w:ilvl w:val="0"/>
          <w:numId w:val="6"/>
        </w:numPr>
        <w:spacing w:line="360" w:lineRule="auto"/>
        <w:ind w:left="420" w:leftChars="0" w:hanging="420" w:firstLineChars="0"/>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当条文类型为“其他专业规范、规程、规定”的时候，需要自行输入非强条规范代码及条文号码，以便上传至省厅非强条库</w:t>
      </w:r>
    </w:p>
    <w:p>
      <w:pPr>
        <w:numPr>
          <w:numId w:val="0"/>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6690" cy="2797810"/>
            <wp:effectExtent l="0" t="0" r="3810" b="889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5"/>
                    <a:stretch>
                      <a:fillRect/>
                    </a:stretch>
                  </pic:blipFill>
                  <pic:spPr>
                    <a:xfrm>
                      <a:off x="0" y="0"/>
                      <a:ext cx="5266690" cy="2797810"/>
                    </a:xfrm>
                    <a:prstGeom prst="rect">
                      <a:avLst/>
                    </a:prstGeom>
                    <a:noFill/>
                    <a:ln>
                      <a:noFill/>
                    </a:ln>
                  </pic:spPr>
                </pic:pic>
              </a:graphicData>
            </a:graphic>
          </wp:inline>
        </w:drawing>
      </w:r>
    </w:p>
    <w:p>
      <w:pPr>
        <w:numPr>
          <w:ilvl w:val="0"/>
          <w:numId w:val="5"/>
        </w:numPr>
        <w:spacing w:line="360" w:lineRule="auto"/>
        <w:ind w:left="0" w:leftChars="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数据上传省厅系统</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点击确认上报省厅系统。</w:t>
      </w:r>
    </w:p>
    <w:p>
      <w:pPr>
        <w:spacing w:line="360" w:lineRule="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注：</w:t>
      </w:r>
    </w:p>
    <w:p>
      <w:pPr>
        <w:spacing w:line="360" w:lineRule="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审查意见中强条内容及对应条文将会上传至省厅的审查意见的强条类型中</w:t>
      </w:r>
    </w:p>
    <w:p>
      <w:pPr>
        <w:spacing w:line="360" w:lineRule="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审查意见中非强条内容及对应条文将会上传至省厅的审查意见非强条类型中</w:t>
      </w:r>
    </w:p>
    <w:p>
      <w:pPr>
        <w:numPr>
          <w:numId w:val="0"/>
        </w:numPr>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审查意见中的附件将会上传到省厅的互动信息中的审查意见附件中</w:t>
      </w:r>
    </w:p>
    <w:p>
      <w:pPr>
        <w:spacing w:line="360" w:lineRule="auto"/>
        <w:rPr>
          <w:rFonts w:hint="eastAsia" w:asciiTheme="minorEastAsia" w:hAnsiTheme="minorEastAsia" w:eastAsiaTheme="minorEastAsia" w:cstheme="minor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1C8EEB"/>
    <w:multiLevelType w:val="singleLevel"/>
    <w:tmpl w:val="E11C8EEB"/>
    <w:lvl w:ilvl="0" w:tentative="0">
      <w:start w:val="1"/>
      <w:numFmt w:val="decimal"/>
      <w:lvlText w:val="%1."/>
      <w:lvlJc w:val="left"/>
      <w:pPr>
        <w:tabs>
          <w:tab w:val="left" w:pos="312"/>
        </w:tabs>
      </w:pPr>
    </w:lvl>
  </w:abstractNum>
  <w:abstractNum w:abstractNumId="1">
    <w:nsid w:val="F3C4726B"/>
    <w:multiLevelType w:val="singleLevel"/>
    <w:tmpl w:val="F3C4726B"/>
    <w:lvl w:ilvl="0" w:tentative="0">
      <w:start w:val="1"/>
      <w:numFmt w:val="bullet"/>
      <w:lvlText w:val=""/>
      <w:lvlJc w:val="left"/>
      <w:pPr>
        <w:ind w:left="420" w:hanging="420"/>
      </w:pPr>
      <w:rPr>
        <w:rFonts w:hint="default" w:ascii="Wingdings" w:hAnsi="Wingdings"/>
      </w:rPr>
    </w:lvl>
  </w:abstractNum>
  <w:abstractNum w:abstractNumId="2">
    <w:nsid w:val="04602170"/>
    <w:multiLevelType w:val="singleLevel"/>
    <w:tmpl w:val="04602170"/>
    <w:lvl w:ilvl="0" w:tentative="0">
      <w:start w:val="1"/>
      <w:numFmt w:val="decimal"/>
      <w:lvlText w:val="(%1)"/>
      <w:lvlJc w:val="left"/>
      <w:pPr>
        <w:ind w:left="425" w:hanging="425"/>
      </w:pPr>
      <w:rPr>
        <w:rFonts w:hint="default"/>
      </w:rPr>
    </w:lvl>
  </w:abstractNum>
  <w:abstractNum w:abstractNumId="3">
    <w:nsid w:val="3774EFB4"/>
    <w:multiLevelType w:val="multilevel"/>
    <w:tmpl w:val="3774EFB4"/>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2"/>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4">
    <w:nsid w:val="3E67F9DE"/>
    <w:multiLevelType w:val="singleLevel"/>
    <w:tmpl w:val="3E67F9DE"/>
    <w:lvl w:ilvl="0" w:tentative="0">
      <w:start w:val="1"/>
      <w:numFmt w:val="decimal"/>
      <w:lvlText w:val="%1."/>
      <w:lvlJc w:val="left"/>
      <w:pPr>
        <w:tabs>
          <w:tab w:val="left" w:pos="312"/>
        </w:tabs>
      </w:pPr>
    </w:lvl>
  </w:abstractNum>
  <w:abstractNum w:abstractNumId="5">
    <w:nsid w:val="5431D1D7"/>
    <w:multiLevelType w:val="singleLevel"/>
    <w:tmpl w:val="5431D1D7"/>
    <w:lvl w:ilvl="0" w:tentative="0">
      <w:start w:val="3"/>
      <w:numFmt w:val="chineseCounting"/>
      <w:suff w:val="nothing"/>
      <w:lvlText w:val="%1、"/>
      <w:lvlJc w:val="left"/>
      <w:rPr>
        <w:rFonts w:hint="eastAsia"/>
      </w:r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5D11BE"/>
    <w:rsid w:val="59D1442D"/>
    <w:rsid w:val="7B5D1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iPriority w:val="0"/>
    <w:pPr>
      <w:keepNext/>
      <w:keepLines/>
      <w:numPr>
        <w:ilvl w:val="2"/>
        <w:numId w:val="1"/>
      </w:numPr>
      <w:tabs>
        <w:tab w:val="left" w:pos="709"/>
      </w:tabs>
      <w:spacing w:before="260" w:beforeLines="0" w:after="260" w:afterLines="0" w:line="416" w:lineRule="auto"/>
      <w:ind w:left="720" w:hanging="720"/>
      <w:jc w:val="left"/>
      <w:outlineLvl w:val="2"/>
    </w:pPr>
    <w:rPr>
      <w:bCs/>
      <w:sz w:val="28"/>
      <w:szCs w:val="32"/>
    </w:rPr>
  </w:style>
  <w:style w:type="character" w:default="1" w:styleId="4">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Office_11.1.0.8524_F1E327BC-269C-435d-A152-05C5408002CA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2019-03-18T09:17:00Z</dcterms:created>
  <dc:creator>大力</dc:creator>
  <cp:lastModifiedBy>大力</cp:lastModifiedBy>
  <dcterms:modified xsi:type="dcterms:W3CDTF">2019-03-18T09:25:10Z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2052-11.1.0.8524</vt:lpwstr>
  </property>
</Properties>
</file>